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FE" w:rsidRPr="00B0382E" w:rsidRDefault="007B3F32" w:rsidP="007B3F32">
      <w:pPr>
        <w:spacing w:after="0" w:line="276" w:lineRule="auto"/>
        <w:rPr>
          <w:rFonts w:ascii="Tahoma" w:hAnsi="Tahoma" w:cs="Tahoma"/>
          <w:sz w:val="20"/>
          <w:szCs w:val="20"/>
        </w:rPr>
      </w:pPr>
      <w:r w:rsidRPr="00B0382E">
        <w:rPr>
          <w:rFonts w:ascii="Tahoma" w:hAnsi="Tahoma" w:cs="Tahoma"/>
          <w:sz w:val="20"/>
          <w:szCs w:val="20"/>
        </w:rPr>
        <w:t>Cartagena de Indias D.T. y C, mayo 22 de 2020</w:t>
      </w:r>
    </w:p>
    <w:p w:rsidR="007B3F32" w:rsidRPr="00B0382E" w:rsidRDefault="007B3F32" w:rsidP="007B3F32">
      <w:pPr>
        <w:spacing w:after="0" w:line="276" w:lineRule="auto"/>
        <w:rPr>
          <w:rFonts w:ascii="Tahoma" w:hAnsi="Tahoma" w:cs="Tahoma"/>
          <w:sz w:val="20"/>
          <w:szCs w:val="20"/>
        </w:rPr>
      </w:pPr>
    </w:p>
    <w:p w:rsidR="007B3F32" w:rsidRPr="00B0382E" w:rsidRDefault="007B3F32" w:rsidP="007B3F32">
      <w:pPr>
        <w:spacing w:after="0" w:line="276" w:lineRule="auto"/>
        <w:jc w:val="center"/>
        <w:rPr>
          <w:rFonts w:ascii="Tahoma" w:hAnsi="Tahoma" w:cs="Tahoma"/>
          <w:b/>
          <w:sz w:val="20"/>
          <w:szCs w:val="20"/>
        </w:rPr>
      </w:pPr>
      <w:r w:rsidRPr="00B0382E">
        <w:rPr>
          <w:rFonts w:ascii="Tahoma" w:hAnsi="Tahoma" w:cs="Tahoma"/>
          <w:b/>
          <w:sz w:val="20"/>
          <w:szCs w:val="20"/>
        </w:rPr>
        <w:t>INFORME DE PQRS DEL INSTITUTO DE PATRIMONIO Y CULTURA DE CARTAGENA – IPCC</w:t>
      </w:r>
    </w:p>
    <w:p w:rsidR="007B3F32" w:rsidRPr="00B0382E" w:rsidRDefault="007B3F32" w:rsidP="007B3F32">
      <w:pPr>
        <w:spacing w:after="0" w:line="276" w:lineRule="auto"/>
        <w:rPr>
          <w:rFonts w:ascii="Tahoma" w:hAnsi="Tahoma" w:cs="Tahoma"/>
          <w:sz w:val="20"/>
          <w:szCs w:val="20"/>
        </w:rPr>
      </w:pPr>
    </w:p>
    <w:p w:rsidR="007B3F32" w:rsidRPr="00B0382E" w:rsidRDefault="007B3F32" w:rsidP="007B3F32">
      <w:pPr>
        <w:spacing w:after="0" w:line="276" w:lineRule="auto"/>
        <w:jc w:val="both"/>
        <w:rPr>
          <w:rFonts w:ascii="Tahoma" w:hAnsi="Tahoma" w:cs="Tahoma"/>
          <w:sz w:val="20"/>
          <w:szCs w:val="20"/>
        </w:rPr>
      </w:pPr>
      <w:r w:rsidRPr="00B0382E">
        <w:rPr>
          <w:rFonts w:ascii="Tahoma" w:hAnsi="Tahoma" w:cs="Tahoma"/>
          <w:sz w:val="20"/>
          <w:szCs w:val="20"/>
        </w:rPr>
        <w:t>El siguiente informe presenta los estados de los diferentes trámites presentados desde el primero de enero de 2020 hasta el 31 de marzo de 2020 en la plataforma SIGOB, los cuales fueron canalizados desde la cuenta de la dirección general.</w:t>
      </w:r>
    </w:p>
    <w:p w:rsidR="007B3F32" w:rsidRPr="00B0382E" w:rsidRDefault="007B3F32" w:rsidP="007B3F32">
      <w:pPr>
        <w:spacing w:after="0" w:line="276" w:lineRule="auto"/>
        <w:jc w:val="both"/>
        <w:rPr>
          <w:rFonts w:ascii="Tahoma" w:hAnsi="Tahoma" w:cs="Tahoma"/>
          <w:sz w:val="20"/>
          <w:szCs w:val="20"/>
        </w:rPr>
      </w:pPr>
    </w:p>
    <w:p w:rsidR="007B3F32" w:rsidRPr="00B0382E" w:rsidRDefault="007B3F32" w:rsidP="007B3F32">
      <w:pPr>
        <w:spacing w:after="0" w:line="276" w:lineRule="auto"/>
        <w:jc w:val="both"/>
        <w:rPr>
          <w:rFonts w:ascii="Tahoma" w:hAnsi="Tahoma" w:cs="Tahoma"/>
          <w:b/>
          <w:sz w:val="20"/>
          <w:szCs w:val="20"/>
        </w:rPr>
      </w:pPr>
      <w:r w:rsidRPr="00B0382E">
        <w:rPr>
          <w:rFonts w:ascii="Tahoma" w:hAnsi="Tahoma" w:cs="Tahoma"/>
          <w:b/>
          <w:sz w:val="20"/>
          <w:szCs w:val="20"/>
        </w:rPr>
        <w:t>ENERO</w:t>
      </w:r>
    </w:p>
    <w:p w:rsidR="007B3F32" w:rsidRPr="00B0382E" w:rsidRDefault="007B3F32" w:rsidP="007B3F32">
      <w:pPr>
        <w:spacing w:after="0" w:line="276" w:lineRule="auto"/>
        <w:jc w:val="both"/>
        <w:rPr>
          <w:rFonts w:ascii="Tahoma" w:hAnsi="Tahoma" w:cs="Tahoma"/>
          <w:sz w:val="20"/>
          <w:szCs w:val="20"/>
        </w:rPr>
      </w:pPr>
      <w:r w:rsidRPr="00B0382E">
        <w:rPr>
          <w:rFonts w:ascii="Tahoma" w:hAnsi="Tahoma" w:cs="Tahoma"/>
          <w:sz w:val="20"/>
          <w:szCs w:val="20"/>
        </w:rPr>
        <w:t>Ingresaron un total de 246 PQRS, las cuales se discriminan así:</w:t>
      </w:r>
    </w:p>
    <w:p w:rsidR="007B3F32" w:rsidRPr="00B0382E" w:rsidRDefault="007B3F32" w:rsidP="007B3F32">
      <w:pPr>
        <w:spacing w:after="0" w:line="276" w:lineRule="auto"/>
        <w:jc w:val="both"/>
        <w:rPr>
          <w:rFonts w:ascii="Tahoma" w:hAnsi="Tahoma" w:cs="Tahoma"/>
          <w:sz w:val="20"/>
          <w:szCs w:val="20"/>
        </w:rPr>
      </w:pPr>
      <w:r w:rsidRPr="00B0382E">
        <w:rPr>
          <w:rFonts w:ascii="Tahoma" w:hAnsi="Tahoma" w:cs="Tahoma"/>
          <w:sz w:val="20"/>
          <w:szCs w:val="20"/>
        </w:rPr>
        <w:t>INTERNAS: 48</w:t>
      </w:r>
    </w:p>
    <w:p w:rsidR="007B3F32" w:rsidRPr="00B0382E" w:rsidRDefault="007B3F32" w:rsidP="007B3F32">
      <w:pPr>
        <w:spacing w:after="0" w:line="276" w:lineRule="auto"/>
        <w:jc w:val="both"/>
        <w:rPr>
          <w:rFonts w:ascii="Tahoma" w:hAnsi="Tahoma" w:cs="Tahoma"/>
          <w:sz w:val="20"/>
          <w:szCs w:val="20"/>
        </w:rPr>
      </w:pPr>
      <w:r w:rsidRPr="00B0382E">
        <w:rPr>
          <w:rFonts w:ascii="Tahoma" w:hAnsi="Tahoma" w:cs="Tahoma"/>
          <w:sz w:val="20"/>
          <w:szCs w:val="20"/>
        </w:rPr>
        <w:t>EXTERNAS: 198</w:t>
      </w:r>
    </w:p>
    <w:p w:rsidR="007B3F32" w:rsidRPr="00B0382E" w:rsidRDefault="007B3F32" w:rsidP="007B3F32">
      <w:pPr>
        <w:spacing w:after="0" w:line="276" w:lineRule="auto"/>
        <w:jc w:val="both"/>
        <w:rPr>
          <w:rFonts w:ascii="Tahoma" w:hAnsi="Tahoma" w:cs="Tahoma"/>
          <w:sz w:val="20"/>
          <w:szCs w:val="20"/>
        </w:rPr>
      </w:pPr>
    </w:p>
    <w:p w:rsidR="007B3F32" w:rsidRPr="00B0382E" w:rsidRDefault="007B3F32" w:rsidP="007B3F32">
      <w:pPr>
        <w:spacing w:after="0" w:line="276" w:lineRule="auto"/>
        <w:jc w:val="both"/>
        <w:rPr>
          <w:rFonts w:ascii="Tahoma" w:hAnsi="Tahoma" w:cs="Tahoma"/>
          <w:sz w:val="20"/>
          <w:szCs w:val="20"/>
        </w:rPr>
      </w:pPr>
      <w:r w:rsidRPr="00B0382E">
        <w:rPr>
          <w:rFonts w:ascii="Tahoma" w:hAnsi="Tahoma" w:cs="Tahoma"/>
          <w:sz w:val="20"/>
          <w:szCs w:val="20"/>
        </w:rPr>
        <w:t>Del total de las 246 solicitudes de PQRS, se encuentran debidamente tramitadas 159 y en calidad de espera de gestión 87</w:t>
      </w:r>
    </w:p>
    <w:p w:rsidR="007B3F32" w:rsidRDefault="007B3F32" w:rsidP="007B3F32">
      <w:pPr>
        <w:spacing w:after="0" w:line="276" w:lineRule="auto"/>
        <w:jc w:val="both"/>
        <w:rPr>
          <w:rFonts w:ascii="Tahoma" w:hAnsi="Tahoma" w:cs="Tahoma"/>
          <w:sz w:val="20"/>
          <w:szCs w:val="20"/>
        </w:rPr>
      </w:pPr>
    </w:p>
    <w:p w:rsidR="00DD2EEF" w:rsidRDefault="00DD2EEF" w:rsidP="00DD2EEF">
      <w:pPr>
        <w:spacing w:after="0" w:line="276" w:lineRule="auto"/>
        <w:jc w:val="both"/>
        <w:rPr>
          <w:rFonts w:ascii="Tahoma" w:hAnsi="Tahoma" w:cs="Tahoma"/>
          <w:sz w:val="20"/>
          <w:szCs w:val="20"/>
        </w:rPr>
      </w:pPr>
      <w:r>
        <w:rPr>
          <w:rFonts w:ascii="Tahoma" w:hAnsi="Tahoma" w:cs="Tahoma"/>
          <w:sz w:val="20"/>
          <w:szCs w:val="20"/>
        </w:rPr>
        <w:t>De aquellas que esperan gestión 15 son internas y 72 son externas.</w:t>
      </w:r>
    </w:p>
    <w:p w:rsidR="00DD2EEF" w:rsidRPr="00B0382E" w:rsidRDefault="00DD2EEF" w:rsidP="00DD2EEF">
      <w:pPr>
        <w:spacing w:after="0" w:line="276" w:lineRule="auto"/>
        <w:jc w:val="both"/>
        <w:rPr>
          <w:rFonts w:ascii="Tahoma" w:hAnsi="Tahoma" w:cs="Tahoma"/>
          <w:sz w:val="20"/>
          <w:szCs w:val="20"/>
        </w:rPr>
      </w:pPr>
      <w:r>
        <w:rPr>
          <w:rFonts w:ascii="Tahoma" w:hAnsi="Tahoma" w:cs="Tahoma"/>
          <w:sz w:val="20"/>
          <w:szCs w:val="20"/>
        </w:rPr>
        <w:t xml:space="preserve">De aquellas debidamente tramitadas </w:t>
      </w:r>
      <w:r w:rsidR="006D08BA">
        <w:rPr>
          <w:rFonts w:ascii="Tahoma" w:hAnsi="Tahoma" w:cs="Tahoma"/>
          <w:sz w:val="20"/>
          <w:szCs w:val="20"/>
        </w:rPr>
        <w:t>33 internas y 126</w:t>
      </w:r>
      <w:r>
        <w:rPr>
          <w:rFonts w:ascii="Tahoma" w:hAnsi="Tahoma" w:cs="Tahoma"/>
          <w:sz w:val="20"/>
          <w:szCs w:val="20"/>
        </w:rPr>
        <w:t xml:space="preserve"> externas.</w:t>
      </w:r>
    </w:p>
    <w:p w:rsidR="00B0382E" w:rsidRDefault="00B0382E" w:rsidP="007B3F32">
      <w:pPr>
        <w:spacing w:after="0" w:line="276" w:lineRule="auto"/>
        <w:jc w:val="both"/>
        <w:rPr>
          <w:rFonts w:ascii="Tahoma" w:hAnsi="Tahoma" w:cs="Tahoma"/>
          <w:sz w:val="20"/>
          <w:szCs w:val="20"/>
        </w:rPr>
      </w:pPr>
    </w:p>
    <w:p w:rsidR="00DD2EEF" w:rsidRDefault="00DD2EEF" w:rsidP="007B3F32">
      <w:pPr>
        <w:spacing w:after="0" w:line="276" w:lineRule="auto"/>
        <w:jc w:val="both"/>
        <w:rPr>
          <w:rFonts w:ascii="Tahoma" w:hAnsi="Tahoma" w:cs="Tahoma"/>
          <w:sz w:val="20"/>
          <w:szCs w:val="20"/>
        </w:rPr>
      </w:pPr>
    </w:p>
    <w:p w:rsidR="00DD2EEF" w:rsidRDefault="005705A4" w:rsidP="007B3F32">
      <w:pPr>
        <w:spacing w:after="0" w:line="276" w:lineRule="auto"/>
        <w:jc w:val="both"/>
        <w:rPr>
          <w:rFonts w:ascii="Tahoma" w:hAnsi="Tahoma" w:cs="Tahoma"/>
          <w:sz w:val="20"/>
          <w:szCs w:val="20"/>
        </w:rPr>
      </w:pPr>
      <w:r>
        <w:rPr>
          <w:rFonts w:ascii="Tahoma" w:hAnsi="Tahoma" w:cs="Tahoma"/>
          <w:noProof/>
          <w:sz w:val="20"/>
          <w:szCs w:val="20"/>
          <w:lang w:eastAsia="es-ES"/>
        </w:rPr>
        <w:drawing>
          <wp:inline distT="0" distB="0" distL="0" distR="0">
            <wp:extent cx="4037965" cy="1940560"/>
            <wp:effectExtent l="0" t="0" r="635" b="254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D2EEF" w:rsidRDefault="00DD2EEF" w:rsidP="007B3F32">
      <w:pPr>
        <w:spacing w:after="0" w:line="276" w:lineRule="auto"/>
        <w:jc w:val="both"/>
        <w:rPr>
          <w:rFonts w:ascii="Tahoma" w:hAnsi="Tahoma" w:cs="Tahoma"/>
          <w:sz w:val="20"/>
          <w:szCs w:val="20"/>
        </w:rPr>
      </w:pPr>
    </w:p>
    <w:p w:rsidR="00DD2EEF" w:rsidRPr="00B0382E" w:rsidRDefault="00DD2EEF" w:rsidP="007B3F32">
      <w:pPr>
        <w:spacing w:after="0" w:line="276" w:lineRule="auto"/>
        <w:jc w:val="both"/>
        <w:rPr>
          <w:rFonts w:ascii="Tahoma" w:hAnsi="Tahoma" w:cs="Tahoma"/>
          <w:sz w:val="20"/>
          <w:szCs w:val="20"/>
        </w:rPr>
      </w:pPr>
    </w:p>
    <w:p w:rsidR="007B3F32" w:rsidRPr="00B0382E" w:rsidRDefault="007B3F32" w:rsidP="007B3F32">
      <w:pPr>
        <w:spacing w:after="0" w:line="276" w:lineRule="auto"/>
        <w:jc w:val="both"/>
        <w:rPr>
          <w:rFonts w:ascii="Tahoma" w:hAnsi="Tahoma" w:cs="Tahoma"/>
          <w:b/>
          <w:sz w:val="20"/>
          <w:szCs w:val="20"/>
        </w:rPr>
      </w:pPr>
      <w:r w:rsidRPr="00B0382E">
        <w:rPr>
          <w:rFonts w:ascii="Tahoma" w:hAnsi="Tahoma" w:cs="Tahoma"/>
          <w:b/>
          <w:sz w:val="20"/>
          <w:szCs w:val="20"/>
        </w:rPr>
        <w:t>FEBRERO</w:t>
      </w:r>
    </w:p>
    <w:p w:rsidR="007B3F32" w:rsidRPr="00B0382E" w:rsidRDefault="007B3F32" w:rsidP="007B3F32">
      <w:pPr>
        <w:spacing w:after="0" w:line="276" w:lineRule="auto"/>
        <w:jc w:val="both"/>
        <w:rPr>
          <w:rFonts w:ascii="Tahoma" w:hAnsi="Tahoma" w:cs="Tahoma"/>
          <w:sz w:val="20"/>
          <w:szCs w:val="20"/>
        </w:rPr>
      </w:pPr>
      <w:r w:rsidRPr="00B0382E">
        <w:rPr>
          <w:rFonts w:ascii="Tahoma" w:hAnsi="Tahoma" w:cs="Tahoma"/>
          <w:sz w:val="20"/>
          <w:szCs w:val="20"/>
        </w:rPr>
        <w:t>Ingresaron un total de 287 PQRS, las cuales se discriminan así:</w:t>
      </w:r>
    </w:p>
    <w:p w:rsidR="007B3F32" w:rsidRPr="00B0382E" w:rsidRDefault="007B3F32" w:rsidP="007B3F32">
      <w:pPr>
        <w:spacing w:after="0" w:line="276" w:lineRule="auto"/>
        <w:jc w:val="both"/>
        <w:rPr>
          <w:rFonts w:ascii="Tahoma" w:hAnsi="Tahoma" w:cs="Tahoma"/>
          <w:sz w:val="20"/>
          <w:szCs w:val="20"/>
        </w:rPr>
      </w:pPr>
      <w:r w:rsidRPr="00B0382E">
        <w:rPr>
          <w:rFonts w:ascii="Tahoma" w:hAnsi="Tahoma" w:cs="Tahoma"/>
          <w:sz w:val="20"/>
          <w:szCs w:val="20"/>
        </w:rPr>
        <w:t>INTERNAS: 82</w:t>
      </w:r>
    </w:p>
    <w:p w:rsidR="007B3F32" w:rsidRPr="00B0382E" w:rsidRDefault="007B3F32" w:rsidP="007B3F32">
      <w:pPr>
        <w:spacing w:after="0" w:line="276" w:lineRule="auto"/>
        <w:jc w:val="both"/>
        <w:rPr>
          <w:rFonts w:ascii="Tahoma" w:hAnsi="Tahoma" w:cs="Tahoma"/>
          <w:sz w:val="20"/>
          <w:szCs w:val="20"/>
        </w:rPr>
      </w:pPr>
      <w:r w:rsidRPr="00B0382E">
        <w:rPr>
          <w:rFonts w:ascii="Tahoma" w:hAnsi="Tahoma" w:cs="Tahoma"/>
          <w:sz w:val="20"/>
          <w:szCs w:val="20"/>
        </w:rPr>
        <w:t>EXTERNAS: 205</w:t>
      </w:r>
    </w:p>
    <w:p w:rsidR="007B3F32" w:rsidRPr="00B0382E" w:rsidRDefault="007B3F32" w:rsidP="007B3F32">
      <w:pPr>
        <w:spacing w:after="0" w:line="276" w:lineRule="auto"/>
        <w:rPr>
          <w:rFonts w:ascii="Tahoma" w:hAnsi="Tahoma" w:cs="Tahoma"/>
          <w:sz w:val="20"/>
          <w:szCs w:val="20"/>
        </w:rPr>
      </w:pPr>
    </w:p>
    <w:p w:rsidR="00B0382E" w:rsidRDefault="00B0382E" w:rsidP="00B0382E">
      <w:pPr>
        <w:spacing w:after="0" w:line="276" w:lineRule="auto"/>
        <w:jc w:val="both"/>
        <w:rPr>
          <w:rFonts w:ascii="Tahoma" w:hAnsi="Tahoma" w:cs="Tahoma"/>
          <w:sz w:val="20"/>
          <w:szCs w:val="20"/>
        </w:rPr>
      </w:pPr>
      <w:r w:rsidRPr="00B0382E">
        <w:rPr>
          <w:rFonts w:ascii="Tahoma" w:hAnsi="Tahoma" w:cs="Tahoma"/>
          <w:sz w:val="20"/>
          <w:szCs w:val="20"/>
        </w:rPr>
        <w:t>Del total de las 287 solicitudes de PQRS, se encuentran debidamente tramitadas 174 y en calidad de espera de gestión 113</w:t>
      </w:r>
    </w:p>
    <w:p w:rsidR="006D1EA3" w:rsidRDefault="006D1EA3" w:rsidP="006D1EA3">
      <w:pPr>
        <w:spacing w:after="0" w:line="276" w:lineRule="auto"/>
        <w:jc w:val="both"/>
        <w:rPr>
          <w:rFonts w:ascii="Tahoma" w:hAnsi="Tahoma" w:cs="Tahoma"/>
          <w:sz w:val="20"/>
          <w:szCs w:val="20"/>
        </w:rPr>
      </w:pPr>
      <w:r>
        <w:rPr>
          <w:rFonts w:ascii="Tahoma" w:hAnsi="Tahoma" w:cs="Tahoma"/>
          <w:sz w:val="20"/>
          <w:szCs w:val="20"/>
        </w:rPr>
        <w:t>De aquellas que esperan gestión 12 son internas y 101 son externas.</w:t>
      </w:r>
    </w:p>
    <w:p w:rsidR="006D1EA3" w:rsidRPr="00B0382E" w:rsidRDefault="006D1EA3" w:rsidP="006D1EA3">
      <w:pPr>
        <w:spacing w:after="0" w:line="276" w:lineRule="auto"/>
        <w:jc w:val="both"/>
        <w:rPr>
          <w:rFonts w:ascii="Tahoma" w:hAnsi="Tahoma" w:cs="Tahoma"/>
          <w:sz w:val="20"/>
          <w:szCs w:val="20"/>
        </w:rPr>
      </w:pPr>
      <w:r>
        <w:rPr>
          <w:rFonts w:ascii="Tahoma" w:hAnsi="Tahoma" w:cs="Tahoma"/>
          <w:sz w:val="20"/>
          <w:szCs w:val="20"/>
        </w:rPr>
        <w:t>De aquellas debidamente tramitadas 70 internas y 104 externas.</w:t>
      </w:r>
    </w:p>
    <w:p w:rsidR="00B0382E" w:rsidRDefault="00627C8B" w:rsidP="00B0382E">
      <w:pPr>
        <w:spacing w:after="0" w:line="276" w:lineRule="auto"/>
        <w:jc w:val="both"/>
        <w:rPr>
          <w:rFonts w:ascii="Tahoma" w:hAnsi="Tahoma" w:cs="Tahoma"/>
          <w:sz w:val="20"/>
          <w:szCs w:val="20"/>
        </w:rPr>
      </w:pPr>
      <w:r>
        <w:rPr>
          <w:rFonts w:ascii="Tahoma" w:hAnsi="Tahoma" w:cs="Tahoma"/>
          <w:noProof/>
          <w:sz w:val="20"/>
          <w:szCs w:val="20"/>
          <w:lang w:eastAsia="es-ES"/>
        </w:rPr>
        <w:lastRenderedPageBreak/>
        <w:drawing>
          <wp:inline distT="0" distB="0" distL="0" distR="0">
            <wp:extent cx="4142740" cy="202628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0382E" w:rsidRDefault="00B0382E" w:rsidP="00B0382E">
      <w:pPr>
        <w:spacing w:after="0" w:line="276" w:lineRule="auto"/>
        <w:jc w:val="both"/>
        <w:rPr>
          <w:rFonts w:ascii="Tahoma" w:hAnsi="Tahoma" w:cs="Tahoma"/>
          <w:sz w:val="20"/>
          <w:szCs w:val="20"/>
        </w:rPr>
      </w:pPr>
    </w:p>
    <w:p w:rsidR="00DD2EEF" w:rsidRPr="00B0382E" w:rsidRDefault="00DD2EEF" w:rsidP="00B0382E">
      <w:pPr>
        <w:spacing w:after="0" w:line="276" w:lineRule="auto"/>
        <w:jc w:val="both"/>
        <w:rPr>
          <w:rFonts w:ascii="Tahoma" w:hAnsi="Tahoma" w:cs="Tahoma"/>
          <w:sz w:val="20"/>
          <w:szCs w:val="20"/>
        </w:rPr>
      </w:pPr>
    </w:p>
    <w:p w:rsidR="00B0382E" w:rsidRPr="00B0382E" w:rsidRDefault="00B0382E" w:rsidP="00B0382E">
      <w:pPr>
        <w:spacing w:after="0" w:line="276" w:lineRule="auto"/>
        <w:jc w:val="both"/>
        <w:rPr>
          <w:rFonts w:ascii="Tahoma" w:hAnsi="Tahoma" w:cs="Tahoma"/>
          <w:b/>
          <w:sz w:val="20"/>
          <w:szCs w:val="20"/>
        </w:rPr>
      </w:pPr>
      <w:r w:rsidRPr="00B0382E">
        <w:rPr>
          <w:rFonts w:ascii="Tahoma" w:hAnsi="Tahoma" w:cs="Tahoma"/>
          <w:b/>
          <w:sz w:val="20"/>
          <w:szCs w:val="20"/>
        </w:rPr>
        <w:t>MARZO</w:t>
      </w:r>
    </w:p>
    <w:p w:rsidR="00B0382E" w:rsidRPr="00B0382E" w:rsidRDefault="00B0382E" w:rsidP="00B0382E">
      <w:pPr>
        <w:spacing w:after="0" w:line="276" w:lineRule="auto"/>
        <w:jc w:val="both"/>
        <w:rPr>
          <w:rFonts w:ascii="Tahoma" w:hAnsi="Tahoma" w:cs="Tahoma"/>
          <w:sz w:val="20"/>
          <w:szCs w:val="20"/>
        </w:rPr>
      </w:pPr>
      <w:r w:rsidRPr="00B0382E">
        <w:rPr>
          <w:rFonts w:ascii="Tahoma" w:hAnsi="Tahoma" w:cs="Tahoma"/>
          <w:sz w:val="20"/>
          <w:szCs w:val="20"/>
        </w:rPr>
        <w:t>Ingresaron</w:t>
      </w:r>
      <w:r w:rsidR="00E92BC7">
        <w:rPr>
          <w:rFonts w:ascii="Tahoma" w:hAnsi="Tahoma" w:cs="Tahoma"/>
          <w:sz w:val="20"/>
          <w:szCs w:val="20"/>
        </w:rPr>
        <w:t xml:space="preserve"> un total de 176</w:t>
      </w:r>
      <w:r w:rsidRPr="00B0382E">
        <w:rPr>
          <w:rFonts w:ascii="Tahoma" w:hAnsi="Tahoma" w:cs="Tahoma"/>
          <w:sz w:val="20"/>
          <w:szCs w:val="20"/>
        </w:rPr>
        <w:t xml:space="preserve"> PQRS, las cuales se discriminan así:</w:t>
      </w:r>
    </w:p>
    <w:p w:rsidR="00B0382E" w:rsidRPr="00B0382E" w:rsidRDefault="00E92BC7" w:rsidP="00B0382E">
      <w:pPr>
        <w:spacing w:after="0" w:line="276" w:lineRule="auto"/>
        <w:jc w:val="both"/>
        <w:rPr>
          <w:rFonts w:ascii="Tahoma" w:hAnsi="Tahoma" w:cs="Tahoma"/>
          <w:sz w:val="20"/>
          <w:szCs w:val="20"/>
        </w:rPr>
      </w:pPr>
      <w:r>
        <w:rPr>
          <w:rFonts w:ascii="Tahoma" w:hAnsi="Tahoma" w:cs="Tahoma"/>
          <w:sz w:val="20"/>
          <w:szCs w:val="20"/>
        </w:rPr>
        <w:t>INTERNAS: 67</w:t>
      </w:r>
    </w:p>
    <w:p w:rsidR="00B0382E" w:rsidRPr="00B0382E" w:rsidRDefault="00B0382E" w:rsidP="00B0382E">
      <w:pPr>
        <w:spacing w:after="0" w:line="276" w:lineRule="auto"/>
        <w:jc w:val="both"/>
        <w:rPr>
          <w:rFonts w:ascii="Tahoma" w:hAnsi="Tahoma" w:cs="Tahoma"/>
          <w:sz w:val="20"/>
          <w:szCs w:val="20"/>
        </w:rPr>
      </w:pPr>
      <w:r>
        <w:rPr>
          <w:rFonts w:ascii="Tahoma" w:hAnsi="Tahoma" w:cs="Tahoma"/>
          <w:sz w:val="20"/>
          <w:szCs w:val="20"/>
        </w:rPr>
        <w:t>EXTERNAS: 109</w:t>
      </w:r>
    </w:p>
    <w:p w:rsidR="00B0382E" w:rsidRPr="00B0382E" w:rsidRDefault="00B0382E" w:rsidP="00B0382E">
      <w:pPr>
        <w:spacing w:after="0" w:line="276" w:lineRule="auto"/>
        <w:rPr>
          <w:rFonts w:ascii="Tahoma" w:hAnsi="Tahoma" w:cs="Tahoma"/>
          <w:sz w:val="20"/>
          <w:szCs w:val="20"/>
        </w:rPr>
      </w:pPr>
    </w:p>
    <w:p w:rsidR="00B0382E" w:rsidRDefault="00B0382E" w:rsidP="00B0382E">
      <w:pPr>
        <w:spacing w:after="0" w:line="276" w:lineRule="auto"/>
        <w:jc w:val="both"/>
        <w:rPr>
          <w:rFonts w:ascii="Tahoma" w:hAnsi="Tahoma" w:cs="Tahoma"/>
          <w:sz w:val="20"/>
          <w:szCs w:val="20"/>
        </w:rPr>
      </w:pPr>
      <w:r>
        <w:rPr>
          <w:rFonts w:ascii="Tahoma" w:hAnsi="Tahoma" w:cs="Tahoma"/>
          <w:sz w:val="20"/>
          <w:szCs w:val="20"/>
        </w:rPr>
        <w:t xml:space="preserve">Del total de las </w:t>
      </w:r>
      <w:r w:rsidR="00E92BC7">
        <w:rPr>
          <w:rFonts w:ascii="Tahoma" w:hAnsi="Tahoma" w:cs="Tahoma"/>
          <w:sz w:val="20"/>
          <w:szCs w:val="20"/>
        </w:rPr>
        <w:t>176</w:t>
      </w:r>
      <w:r w:rsidRPr="00B0382E">
        <w:rPr>
          <w:rFonts w:ascii="Tahoma" w:hAnsi="Tahoma" w:cs="Tahoma"/>
          <w:sz w:val="20"/>
          <w:szCs w:val="20"/>
        </w:rPr>
        <w:t xml:space="preserve"> solicitudes de PQRS, se encue</w:t>
      </w:r>
      <w:r w:rsidR="00E92BC7">
        <w:rPr>
          <w:rFonts w:ascii="Tahoma" w:hAnsi="Tahoma" w:cs="Tahoma"/>
          <w:sz w:val="20"/>
          <w:szCs w:val="20"/>
        </w:rPr>
        <w:t>ntran debidamente tramitadas 137</w:t>
      </w:r>
      <w:r w:rsidRPr="00B0382E">
        <w:rPr>
          <w:rFonts w:ascii="Tahoma" w:hAnsi="Tahoma" w:cs="Tahoma"/>
          <w:sz w:val="20"/>
          <w:szCs w:val="20"/>
        </w:rPr>
        <w:t xml:space="preserve"> y en calidad de espera de </w:t>
      </w:r>
      <w:r w:rsidR="00E92BC7">
        <w:rPr>
          <w:rFonts w:ascii="Tahoma" w:hAnsi="Tahoma" w:cs="Tahoma"/>
          <w:sz w:val="20"/>
          <w:szCs w:val="20"/>
        </w:rPr>
        <w:t>gestión 39.</w:t>
      </w:r>
    </w:p>
    <w:p w:rsidR="00E92BC7" w:rsidRDefault="00E92BC7" w:rsidP="00B0382E">
      <w:pPr>
        <w:spacing w:after="0" w:line="276" w:lineRule="auto"/>
        <w:jc w:val="both"/>
        <w:rPr>
          <w:rFonts w:ascii="Tahoma" w:hAnsi="Tahoma" w:cs="Tahoma"/>
          <w:sz w:val="20"/>
          <w:szCs w:val="20"/>
        </w:rPr>
      </w:pPr>
    </w:p>
    <w:p w:rsidR="00E92BC7" w:rsidRDefault="00E92BC7" w:rsidP="00B0382E">
      <w:pPr>
        <w:spacing w:after="0" w:line="276" w:lineRule="auto"/>
        <w:jc w:val="both"/>
        <w:rPr>
          <w:rFonts w:ascii="Tahoma" w:hAnsi="Tahoma" w:cs="Tahoma"/>
          <w:sz w:val="20"/>
          <w:szCs w:val="20"/>
        </w:rPr>
      </w:pPr>
      <w:r>
        <w:rPr>
          <w:rFonts w:ascii="Tahoma" w:hAnsi="Tahoma" w:cs="Tahoma"/>
          <w:sz w:val="20"/>
          <w:szCs w:val="20"/>
        </w:rPr>
        <w:t>De aquellas que esperan gestión 15 son internas y 24 son externas</w:t>
      </w:r>
      <w:r w:rsidR="00516F07">
        <w:rPr>
          <w:rFonts w:ascii="Tahoma" w:hAnsi="Tahoma" w:cs="Tahoma"/>
          <w:sz w:val="20"/>
          <w:szCs w:val="20"/>
        </w:rPr>
        <w:t>.</w:t>
      </w:r>
    </w:p>
    <w:p w:rsidR="00E92BC7" w:rsidRPr="00B0382E" w:rsidRDefault="00E92BC7" w:rsidP="00B0382E">
      <w:pPr>
        <w:spacing w:after="0" w:line="276" w:lineRule="auto"/>
        <w:jc w:val="both"/>
        <w:rPr>
          <w:rFonts w:ascii="Tahoma" w:hAnsi="Tahoma" w:cs="Tahoma"/>
          <w:sz w:val="20"/>
          <w:szCs w:val="20"/>
        </w:rPr>
      </w:pPr>
      <w:r>
        <w:rPr>
          <w:rFonts w:ascii="Tahoma" w:hAnsi="Tahoma" w:cs="Tahoma"/>
          <w:sz w:val="20"/>
          <w:szCs w:val="20"/>
        </w:rPr>
        <w:t xml:space="preserve">De aquellas debidamente tramitadas </w:t>
      </w:r>
      <w:r w:rsidR="00516F07">
        <w:rPr>
          <w:rFonts w:ascii="Tahoma" w:hAnsi="Tahoma" w:cs="Tahoma"/>
          <w:sz w:val="20"/>
          <w:szCs w:val="20"/>
        </w:rPr>
        <w:t>52 internas y 85 externas.</w:t>
      </w:r>
    </w:p>
    <w:p w:rsidR="00B0382E" w:rsidRDefault="00B0382E" w:rsidP="00B0382E">
      <w:pPr>
        <w:spacing w:after="0" w:line="276" w:lineRule="auto"/>
        <w:jc w:val="both"/>
      </w:pPr>
    </w:p>
    <w:p w:rsidR="007B3F32" w:rsidRDefault="00EE78D4" w:rsidP="007B3F32">
      <w:pPr>
        <w:spacing w:after="0" w:line="276" w:lineRule="auto"/>
      </w:pPr>
      <w:bookmarkStart w:id="0" w:name="_GoBack"/>
      <w:r>
        <w:rPr>
          <w:noProof/>
          <w:lang w:eastAsia="es-ES"/>
        </w:rPr>
        <w:drawing>
          <wp:inline distT="0" distB="0" distL="0" distR="0">
            <wp:extent cx="4361815" cy="2112010"/>
            <wp:effectExtent l="0" t="0" r="635" b="25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7B3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32"/>
    <w:rsid w:val="003624FE"/>
    <w:rsid w:val="00481CA2"/>
    <w:rsid w:val="00516F07"/>
    <w:rsid w:val="005705A4"/>
    <w:rsid w:val="00627C8B"/>
    <w:rsid w:val="006D08BA"/>
    <w:rsid w:val="006D1EA3"/>
    <w:rsid w:val="007547E3"/>
    <w:rsid w:val="007B3F32"/>
    <w:rsid w:val="0084710D"/>
    <w:rsid w:val="00B0382E"/>
    <w:rsid w:val="00DD2EEF"/>
    <w:rsid w:val="00E92BC7"/>
    <w:rsid w:val="00EE78D4"/>
    <w:rsid w:val="00F91D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F1BF3-1648-41B3-B3C2-C99A13BE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a:t>PQRS ENERO</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INGRESADAS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Hoja1!$A$2:$A$3</c:f>
              <c:strCache>
                <c:ptCount val="2"/>
                <c:pt idx="0">
                  <c:v>PQRS INTERNA</c:v>
                </c:pt>
                <c:pt idx="1">
                  <c:v>PQRS EXTERNA</c:v>
                </c:pt>
              </c:strCache>
            </c:strRef>
          </c:cat>
          <c:val>
            <c:numRef>
              <c:f>Hoja1!$B$2:$B$3</c:f>
              <c:numCache>
                <c:formatCode>General</c:formatCode>
                <c:ptCount val="2"/>
                <c:pt idx="0">
                  <c:v>48</c:v>
                </c:pt>
                <c:pt idx="1">
                  <c:v>198</c:v>
                </c:pt>
              </c:numCache>
            </c:numRef>
          </c:val>
        </c:ser>
        <c:ser>
          <c:idx val="1"/>
          <c:order val="1"/>
          <c:tx>
            <c:strRef>
              <c:f>Hoja1!$C$1</c:f>
              <c:strCache>
                <c:ptCount val="1"/>
                <c:pt idx="0">
                  <c:v>TRAMITADAS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Hoja1!$A$2:$A$3</c:f>
              <c:strCache>
                <c:ptCount val="2"/>
                <c:pt idx="0">
                  <c:v>PQRS INTERNA</c:v>
                </c:pt>
                <c:pt idx="1">
                  <c:v>PQRS EXTERNA</c:v>
                </c:pt>
              </c:strCache>
            </c:strRef>
          </c:cat>
          <c:val>
            <c:numRef>
              <c:f>Hoja1!$C$2:$C$3</c:f>
              <c:numCache>
                <c:formatCode>General</c:formatCode>
                <c:ptCount val="2"/>
                <c:pt idx="0">
                  <c:v>33</c:v>
                </c:pt>
                <c:pt idx="1">
                  <c:v>126</c:v>
                </c:pt>
              </c:numCache>
            </c:numRef>
          </c:val>
        </c:ser>
        <c:ser>
          <c:idx val="2"/>
          <c:order val="2"/>
          <c:tx>
            <c:strRef>
              <c:f>Hoja1!$D$1</c:f>
              <c:strCache>
                <c:ptCount val="1"/>
                <c:pt idx="0">
                  <c:v>EN GESTION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Hoja1!$A$2:$A$3</c:f>
              <c:strCache>
                <c:ptCount val="2"/>
                <c:pt idx="0">
                  <c:v>PQRS INTERNA</c:v>
                </c:pt>
                <c:pt idx="1">
                  <c:v>PQRS EXTERNA</c:v>
                </c:pt>
              </c:strCache>
            </c:strRef>
          </c:cat>
          <c:val>
            <c:numRef>
              <c:f>Hoja1!$D$2:$D$3</c:f>
              <c:numCache>
                <c:formatCode>General</c:formatCode>
                <c:ptCount val="2"/>
                <c:pt idx="0">
                  <c:v>15</c:v>
                </c:pt>
                <c:pt idx="1">
                  <c:v>72</c:v>
                </c:pt>
              </c:numCache>
            </c:numRef>
          </c:val>
        </c:ser>
        <c:dLbls>
          <c:showLegendKey val="0"/>
          <c:showVal val="0"/>
          <c:showCatName val="0"/>
          <c:showSerName val="0"/>
          <c:showPercent val="0"/>
          <c:showBubbleSize val="0"/>
        </c:dLbls>
        <c:gapWidth val="100"/>
        <c:overlap val="-24"/>
        <c:axId val="1843269424"/>
        <c:axId val="1843262896"/>
      </c:barChart>
      <c:catAx>
        <c:axId val="18432694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843262896"/>
        <c:crosses val="autoZero"/>
        <c:auto val="1"/>
        <c:lblAlgn val="ctr"/>
        <c:lblOffset val="100"/>
        <c:noMultiLvlLbl val="0"/>
      </c:catAx>
      <c:valAx>
        <c:axId val="18432628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84326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a:t>PQRS FEBRERO</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INGRESADAS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Hoja1!$A$2:$A$3</c:f>
              <c:strCache>
                <c:ptCount val="2"/>
                <c:pt idx="0">
                  <c:v>PQRS INTERNA</c:v>
                </c:pt>
                <c:pt idx="1">
                  <c:v>PQRS EXTERNA</c:v>
                </c:pt>
              </c:strCache>
            </c:strRef>
          </c:cat>
          <c:val>
            <c:numRef>
              <c:f>Hoja1!$B$2:$B$3</c:f>
              <c:numCache>
                <c:formatCode>General</c:formatCode>
                <c:ptCount val="2"/>
                <c:pt idx="0">
                  <c:v>82</c:v>
                </c:pt>
                <c:pt idx="1">
                  <c:v>205</c:v>
                </c:pt>
              </c:numCache>
            </c:numRef>
          </c:val>
        </c:ser>
        <c:ser>
          <c:idx val="1"/>
          <c:order val="1"/>
          <c:tx>
            <c:strRef>
              <c:f>Hoja1!$C$1</c:f>
              <c:strCache>
                <c:ptCount val="1"/>
                <c:pt idx="0">
                  <c:v>TRAMITADASEN GESTIÓN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Hoja1!$A$2:$A$3</c:f>
              <c:strCache>
                <c:ptCount val="2"/>
                <c:pt idx="0">
                  <c:v>PQRS INTERNA</c:v>
                </c:pt>
                <c:pt idx="1">
                  <c:v>PQRS EXTERNA</c:v>
                </c:pt>
              </c:strCache>
            </c:strRef>
          </c:cat>
          <c:val>
            <c:numRef>
              <c:f>Hoja1!$C$2:$C$3</c:f>
              <c:numCache>
                <c:formatCode>General</c:formatCode>
                <c:ptCount val="2"/>
                <c:pt idx="0">
                  <c:v>70</c:v>
                </c:pt>
                <c:pt idx="1">
                  <c:v>104</c:v>
                </c:pt>
              </c:numCache>
            </c:numRef>
          </c:val>
        </c:ser>
        <c:ser>
          <c:idx val="2"/>
          <c:order val="2"/>
          <c:tx>
            <c:strRef>
              <c:f>Hoja1!$D$1</c:f>
              <c:strCache>
                <c:ptCount val="1"/>
                <c:pt idx="0">
                  <c:v>EN GESTIÓN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Hoja1!$A$2:$A$3</c:f>
              <c:strCache>
                <c:ptCount val="2"/>
                <c:pt idx="0">
                  <c:v>PQRS INTERNA</c:v>
                </c:pt>
                <c:pt idx="1">
                  <c:v>PQRS EXTERNA</c:v>
                </c:pt>
              </c:strCache>
            </c:strRef>
          </c:cat>
          <c:val>
            <c:numRef>
              <c:f>Hoja1!$D$2:$D$3</c:f>
              <c:numCache>
                <c:formatCode>General</c:formatCode>
                <c:ptCount val="2"/>
                <c:pt idx="0">
                  <c:v>12</c:v>
                </c:pt>
                <c:pt idx="1">
                  <c:v>101</c:v>
                </c:pt>
              </c:numCache>
            </c:numRef>
          </c:val>
        </c:ser>
        <c:dLbls>
          <c:showLegendKey val="0"/>
          <c:showVal val="0"/>
          <c:showCatName val="0"/>
          <c:showSerName val="0"/>
          <c:showPercent val="0"/>
          <c:showBubbleSize val="0"/>
        </c:dLbls>
        <c:gapWidth val="100"/>
        <c:overlap val="-24"/>
        <c:axId val="1843266160"/>
        <c:axId val="1843267792"/>
      </c:barChart>
      <c:catAx>
        <c:axId val="18432661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843267792"/>
        <c:crosses val="autoZero"/>
        <c:auto val="1"/>
        <c:lblAlgn val="ctr"/>
        <c:lblOffset val="100"/>
        <c:noMultiLvlLbl val="0"/>
      </c:catAx>
      <c:valAx>
        <c:axId val="18432677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84326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INGRESADAS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Hoja1!$A$2:$A$3</c:f>
              <c:strCache>
                <c:ptCount val="2"/>
                <c:pt idx="0">
                  <c:v>PQRS INT.</c:v>
                </c:pt>
                <c:pt idx="1">
                  <c:v>PQRS EXT.</c:v>
                </c:pt>
              </c:strCache>
            </c:strRef>
          </c:cat>
          <c:val>
            <c:numRef>
              <c:f>Hoja1!$B$2:$B$3</c:f>
              <c:numCache>
                <c:formatCode>General</c:formatCode>
                <c:ptCount val="2"/>
                <c:pt idx="0">
                  <c:v>67</c:v>
                </c:pt>
                <c:pt idx="1">
                  <c:v>109</c:v>
                </c:pt>
              </c:numCache>
            </c:numRef>
          </c:val>
        </c:ser>
        <c:ser>
          <c:idx val="1"/>
          <c:order val="1"/>
          <c:tx>
            <c:strRef>
              <c:f>Hoja1!$C$1</c:f>
              <c:strCache>
                <c:ptCount val="1"/>
                <c:pt idx="0">
                  <c:v>TRAMITADAS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Hoja1!$A$2:$A$3</c:f>
              <c:strCache>
                <c:ptCount val="2"/>
                <c:pt idx="0">
                  <c:v>PQRS INT.</c:v>
                </c:pt>
                <c:pt idx="1">
                  <c:v>PQRS EXT.</c:v>
                </c:pt>
              </c:strCache>
            </c:strRef>
          </c:cat>
          <c:val>
            <c:numRef>
              <c:f>Hoja1!$C$2:$C$3</c:f>
              <c:numCache>
                <c:formatCode>General</c:formatCode>
                <c:ptCount val="2"/>
                <c:pt idx="0">
                  <c:v>52</c:v>
                </c:pt>
                <c:pt idx="1">
                  <c:v>85</c:v>
                </c:pt>
              </c:numCache>
            </c:numRef>
          </c:val>
        </c:ser>
        <c:ser>
          <c:idx val="2"/>
          <c:order val="2"/>
          <c:tx>
            <c:strRef>
              <c:f>Hoja1!$D$1</c:f>
              <c:strCache>
                <c:ptCount val="1"/>
                <c:pt idx="0">
                  <c:v>EN GESTIÓN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Hoja1!$A$2:$A$3</c:f>
              <c:strCache>
                <c:ptCount val="2"/>
                <c:pt idx="0">
                  <c:v>PQRS INT.</c:v>
                </c:pt>
                <c:pt idx="1">
                  <c:v>PQRS EXT.</c:v>
                </c:pt>
              </c:strCache>
            </c:strRef>
          </c:cat>
          <c:val>
            <c:numRef>
              <c:f>Hoja1!$D$2:$D$3</c:f>
              <c:numCache>
                <c:formatCode>General</c:formatCode>
                <c:ptCount val="2"/>
                <c:pt idx="0">
                  <c:v>15</c:v>
                </c:pt>
                <c:pt idx="1">
                  <c:v>24</c:v>
                </c:pt>
              </c:numCache>
            </c:numRef>
          </c:val>
        </c:ser>
        <c:dLbls>
          <c:showLegendKey val="0"/>
          <c:showVal val="0"/>
          <c:showCatName val="0"/>
          <c:showSerName val="0"/>
          <c:showPercent val="0"/>
          <c:showBubbleSize val="0"/>
        </c:dLbls>
        <c:gapWidth val="100"/>
        <c:overlap val="-24"/>
        <c:axId val="1843263984"/>
        <c:axId val="1843268336"/>
      </c:barChart>
      <c:catAx>
        <c:axId val="18432639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843268336"/>
        <c:crosses val="autoZero"/>
        <c:auto val="1"/>
        <c:lblAlgn val="ctr"/>
        <c:lblOffset val="100"/>
        <c:noMultiLvlLbl val="0"/>
      </c:catAx>
      <c:valAx>
        <c:axId val="18432683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184326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44546A"/>
      </a:dk2>
      <a:lt2>
        <a:srgbClr val="E7E6E6"/>
      </a:lt2>
      <a:accent1>
        <a:srgbClr val="5B9BD5"/>
      </a:accent1>
      <a:accent2>
        <a:srgbClr val="70AD47"/>
      </a:accent2>
      <a:accent3>
        <a:srgbClr val="FF0000"/>
      </a:accent3>
      <a:accent4>
        <a:srgbClr val="FF0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7D21-8D77-481D-9139-C52FBAD7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defaultuser0</dc:creator>
  <cp:keywords/>
  <dc:description/>
  <cp:lastModifiedBy>defaultuser0</cp:lastModifiedBy>
  <cp:revision>6</cp:revision>
  <dcterms:created xsi:type="dcterms:W3CDTF">2020-05-22T00:02:00Z</dcterms:created>
  <dcterms:modified xsi:type="dcterms:W3CDTF">2020-05-26T14:18:00Z</dcterms:modified>
</cp:coreProperties>
</file>